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74</w:t>
      </w:r>
    </w:p>
    <w:p>
      <w:r>
        <w:t>Bundesgericht (BGE), 1967-10-20, FR</w:t>
      </w:r>
    </w:p>
    <w:p>
      <w:r>
        <w:rPr>
          <w:b/>
        </w:rPr>
        <w:t xml:space="preserve">Quelle: </w:t>
      </w:r>
      <w:r>
        <w:t>https://mcp.opencaselaw.ch/entscheid/bge_94 I 74</w:t>
      </w:r>
    </w:p>
    <w:p>
      <w:r>
        <w:t>FR: ATF 94 I 74</w:t>
      </w:r>
    </w:p>
    <w:p>
      <w:r>
        <w:t>IT: DTF 94 I 74</w:t>
      </w:r>
    </w:p>
    <w:p>
      <w:pPr>
        <w:pStyle w:val="Heading2"/>
      </w:pPr>
      <w:r>
        <w:t>Regeste</w:t>
      </w:r>
    </w:p>
    <w:p>
      <w:r>
        <w:t>Regeste Markenrecht. Schutzverweigerung gegenüber internationaler Marke wegen Fehlens jeder Unterscheidungskraft. Art. 5 Abs. 1 Madrider Abkommen (Fassung von Nizza, 1957; Art. 6 Abs. 1 der Pariser Verbandsübereinkunft (Fassung von Lissabon, 1958); Art. 14 Abs. 1 Ziff. 2 MSchG.</w:t>
      </w:r>
    </w:p>
    <w:p>
      <w:pPr>
        <w:pStyle w:val="Heading2"/>
      </w:pPr>
      <w:r>
        <w:t>Erwägungen</w:t>
      </w:r>
    </w:p>
    <w:p>
      <w:r>
        <w:rPr>
          <w:b/>
        </w:rPr>
        <w:t>E. 1</w:t>
      </w:r>
    </w:p>
    <w:p>
      <w:r>
        <w:t>L'Arrangement de Madrid concernant l'enregistrement international des marques de fabrique ou de commerce, tel qu'il fut revisé à Nice le 15 juin 1957, est entré en vigueur pour BGE 94 I 74 S. 76 la Belgique et la Suisse le 15 décembre 1966 (La Propriété industrielle, 1968, p. 10). En vertu de l'art. 5 al. 1 dudit Arrangement, le Bureau fédéral de la propriété intellectuelle ne peut refuser l'enregistrement d'une marque belge enregistrée au Bureau international que dans les conditions qui s'appliqueraient, en vertu de la Convention de Paris pour la protection de la propriété industrielle, à une marque déposée à l'enregistrement national. Le nouveau texte de cette convention, adopté à Lisbonne le 31 octobre 1958, a été ratifié par la Suisse avec effet au 17 février 1963 et par la Belgique avec effet au 21 août 1965 (La Propriété industrielle, 1966, p. 5 sv.). Il prévoit à l'art. 6 al. 1 que les conditions de dépôt et d'enregistrement des marques de fabrique ou de commerce sont déterminées dans chaque pays de l'Union par sa législation nationale.</w:t>
      </w:r>
    </w:p>
    <w:p>
      <w:r>
        <w:rPr>
          <w:b/>
        </w:rPr>
        <w:t>E. 2</w:t>
      </w:r>
    </w:p>
    <w:p>
      <w:r>
        <w:t>Aux termes de l'art. 14 al. 1 ch. 2 LMF, l'enregistrement d'une marque doit être refusé lorsqu'elle comprend comme élément essentiel un signe devant être considéré comme étant du domaine public. Tel est le cas du signe purement descriptif. Revêt ce caractère le signe qui indique par lui-même, notamment, la nature ou l'une des qualités de la marchandise à laquelle il se rapporte (RO 83 II 218, 84 II 225 et 431). Le recourant admet que sa marque est composée de termes usuels. Mais il soutient que, pris dans leur ensemble, ils présentent une originalité incontestable. Cet argument n'est pas fondé. L'expression "Ecole internationale d'esthéticiennes-visagistes" comprend des mots qui se suivent dans leur ordre logique. On ne saurait discerner aucune originalité dans leur groupement. Elle désigne simplement un établissement international pour la formation d'esthéticiennes-visagistes. Appliquée aux divers objets dont le recourant a présenté la liste, elle éveille par elle-même l'idée de la nature des produits ou du contenu des imprimés relatifs à l'esthétique ou à la cosmétique. Elle constitue dès lors un signe purement descriptif, dépourvu de tout caractère distinctif. Le recourant allègue encore que sa marque est connue en Belgique et à l'étranger et qu'elle a acquis, par un usage de plusieurs années, une réputation incontestable qui en accentue le caractère distinctif. La marque du recourant, on l'a vu, est un signe purement descriptif. Cependant, selon la jurisprudence, un usage étendu et de longue durée est de nature à conférer à un tel signe un caractère distinctif, à moins qu'il ne s'agisse BGE 94 I 74 S. 77 de notions dont le commerce ne peut se passer (RO 84 II 226). Cette question toutefois n'a pas à être résolue en l'espèce. Le recourant en effet ne fournit aucun élément qui puisse étayer ses dires.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